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289" w:rsidRPr="00B10239" w:rsidRDefault="00535289" w:rsidP="00535289">
      <w:pPr>
        <w:pStyle w:val="Heading1"/>
      </w:pPr>
      <w:r w:rsidRPr="00B10239">
        <w:t>GENTAMYCIN SULFATE    CAS # 1405410</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D  Inhalation Hazard         H  STEL            L  Sensitizers</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HAZARD INDEX    .   .   .   .   .   F   G   .   .   .   .   L</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NFPA HAZARD CODES (H,F,R,O)  3   0   0      </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ACUTE TOXICTY RISK INDEX 2 - LD50  5000.0 mg/Kg</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INHALATION RISK INDEX   &lt;1  - LC50         </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ROUTE OF EXPOSURE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irritating to mucous membranes and upper respiratory tract.</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SENSITIZATION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Sensitization: Causes photosensitiveity. Exposure to light can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result in allergic reactions resulting in dermatologic lesions,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which can vary from sunburnlike responses to edematous,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vesiculated lesions, or bullae Prolonged or repeated exposure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may cause allergic reactions in certain sensitive individuals.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Respiratory: May cause allergic respiratory reaction.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TARGET ORGAN(S) OR SYSTEM(S)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Nerves. Aminoglycosides are associated with significant</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nephrotoxicity and/or ototoxicity. Ears. Kidneys.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SIGNS AND SYMPTOMS OF EXPOSURE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Nausea, headache, and vomiting. Exposure can cause: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Aminoglycosides are associated with significant nephrotoxicity</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and/or ototoxicity.</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PHYSICAL CHARACTERISTICS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PHYSICAL STATE:  Solid</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SEGREGATION: SHELF # 2</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STORAGE GROUP(S):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WASTE CHARACTERISTIC HAZARD:   TOXIC   CORROSIVE</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INCOMPATIBILITIES:Oxidizing agents.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FIRE EXTINGUISHER:  Noncombustible. Use extinguishing media appropriate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tosurrounding fire conditions.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TOXIC EMISSIONS WHEN BURNED: Nitrogen oxides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Store at 2-8°C</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Keep tightly closed.</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lastRenderedPageBreak/>
        <w:t>REACTIVE PROPERTIES</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HANDLING: Avoid breathing dust. Avoid contact with eyes, skin, and clothing.</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2-8░C</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GLOBALLY HARMONIZED SYSTEM OF CLASSIFICATION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EU ADDITIONAL CLASSIFICATION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Symbol of Danger: Xn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R: 42/43</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Risk Statements: May cause sensitization by inhalation and skin</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contact.</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 22-36/37-45</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Safety Statements: Do not breathe dust. Wear suitable protective</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clothing and gloves. In case of accident or if you feel unwell,</w:t>
      </w:r>
    </w:p>
    <w:p w:rsidR="00535289" w:rsidRPr="00B10239" w:rsidRDefault="00535289" w:rsidP="00535289">
      <w:pPr>
        <w:pStyle w:val="PlainText"/>
        <w:rPr>
          <w:rFonts w:ascii="Courier New" w:hAnsi="Courier New" w:cs="Courier New"/>
          <w:sz w:val="20"/>
        </w:rPr>
      </w:pPr>
      <w:r w:rsidRPr="00B10239">
        <w:rPr>
          <w:rFonts w:ascii="Courier New" w:hAnsi="Courier New" w:cs="Courier New"/>
          <w:sz w:val="20"/>
        </w:rPr>
        <w:t xml:space="preserve">   seek medical advice immediately (show the label where possible).</w:t>
      </w:r>
    </w:p>
    <w:p w:rsidR="00535289" w:rsidRPr="00B10239" w:rsidRDefault="00535289" w:rsidP="00535289">
      <w:pPr>
        <w:pStyle w:val="PlainText"/>
        <w:rPr>
          <w:rFonts w:ascii="Courier New" w:hAnsi="Courier New" w:cs="Courier New"/>
          <w:sz w:val="20"/>
        </w:rPr>
      </w:pPr>
    </w:p>
    <w:p w:rsidR="00535289" w:rsidRPr="00B10239" w:rsidRDefault="00535289" w:rsidP="00535289">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289"/>
    <w:rsid w:val="00535289"/>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52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289"/>
    <w:rPr>
      <w:rFonts w:ascii="Courier New" w:eastAsia="Times New Roman" w:hAnsi="Courier New" w:cs="Times New Roman"/>
      <w:b/>
      <w:bCs/>
      <w:sz w:val="20"/>
      <w:szCs w:val="28"/>
    </w:rPr>
  </w:style>
  <w:style w:type="paragraph" w:styleId="NoSpacing">
    <w:name w:val="No Spacing"/>
    <w:autoRedefine/>
    <w:uiPriority w:val="1"/>
    <w:qFormat/>
    <w:rsid w:val="005352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352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528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52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289"/>
    <w:rPr>
      <w:rFonts w:ascii="Courier New" w:eastAsia="Times New Roman" w:hAnsi="Courier New" w:cs="Times New Roman"/>
      <w:b/>
      <w:bCs/>
      <w:sz w:val="20"/>
      <w:szCs w:val="28"/>
    </w:rPr>
  </w:style>
  <w:style w:type="paragraph" w:styleId="NoSpacing">
    <w:name w:val="No Spacing"/>
    <w:autoRedefine/>
    <w:uiPriority w:val="1"/>
    <w:qFormat/>
    <w:rsid w:val="005352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352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528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2846</Characters>
  <Application>Microsoft Office Word</Application>
  <DocSecurity>0</DocSecurity>
  <Lines>23</Lines>
  <Paragraphs>6</Paragraphs>
  <ScaleCrop>false</ScaleCrop>
  <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