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944" w:rsidRPr="00D65440" w:rsidRDefault="00212944" w:rsidP="00212944">
      <w:pPr>
        <w:pStyle w:val="Heading1"/>
      </w:pPr>
      <w:r w:rsidRPr="00D65440">
        <w:t>ACRYLAMIDE    CAS # 79061   HAZARDOUS CHEMICAL OF CONCERN</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w:t>
      </w:r>
      <w:proofErr w:type="gramEnd"/>
      <w:r w:rsidRPr="00D65440">
        <w:rPr>
          <w:rFonts w:ascii="Courier New" w:hAnsi="Courier New" w:cs="Courier New"/>
          <w:sz w:val="20"/>
          <w:szCs w:val="20"/>
        </w:rPr>
        <w:t xml:space="preserve">    A   B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I   .   .   L</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4.1 - TD50     3.8 mg/Kg</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4.8</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124.0 mg/Kg</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2.2 - LC50   1500.0</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ROUTE OF EXPOSURE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Readily absorbed through skin. Toxic if</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Harmful if inhaled.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SENSITIZATION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Acrylamide toxicity is manifested as a sensorimotor peripheral</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neuropathy</w:t>
      </w:r>
      <w:proofErr w:type="gramEnd"/>
      <w:r w:rsidRPr="00D65440">
        <w:rPr>
          <w:rFonts w:ascii="Courier New" w:hAnsi="Courier New" w:cs="Courier New"/>
          <w:sz w:val="20"/>
          <w:szCs w:val="20"/>
        </w:rPr>
        <w:t>. Symptoms include: drowsiness, loss of balance,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confusion</w:t>
      </w:r>
      <w:proofErr w:type="gramEnd"/>
      <w:r w:rsidRPr="00D65440">
        <w:rPr>
          <w:rFonts w:ascii="Courier New" w:hAnsi="Courier New" w:cs="Courier New"/>
          <w:sz w:val="20"/>
          <w:szCs w:val="20"/>
        </w:rPr>
        <w:t xml:space="preserve">, memory loss, hallucinations, numbness, </w:t>
      </w:r>
      <w:proofErr w:type="spellStart"/>
      <w:r w:rsidRPr="00D65440">
        <w:rPr>
          <w:rFonts w:ascii="Courier New" w:hAnsi="Courier New" w:cs="Courier New"/>
          <w:sz w:val="20"/>
          <w:szCs w:val="20"/>
        </w:rPr>
        <w:t>paresthesias</w:t>
      </w:r>
      <w:proofErr w:type="spellEnd"/>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ataxia</w:t>
      </w:r>
      <w:proofErr w:type="gramEnd"/>
      <w:r w:rsidRPr="00D65440">
        <w:rPr>
          <w:rFonts w:ascii="Courier New" w:hAnsi="Courier New" w:cs="Courier New"/>
          <w:sz w:val="20"/>
          <w:szCs w:val="20"/>
        </w:rPr>
        <w:t xml:space="preserve">, tremor, dysarthria), and incoordination. </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VAPOR PRESSURE .380 mm Hg @ 20 °C</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280</w:t>
      </w:r>
      <w:proofErr w:type="gramEnd"/>
      <w:r w:rsidRPr="00D65440">
        <w:rPr>
          <w:rFonts w:ascii="Courier New" w:hAnsi="Courier New" w:cs="Courier New"/>
          <w:sz w:val="20"/>
          <w:szCs w:val="20"/>
        </w:rPr>
        <w:t xml:space="preserve"> °F</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STORAGE GROUP(S):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:Avoid</w:t>
      </w:r>
      <w:proofErr w:type="spellEnd"/>
      <w:proofErr w:type="gramEnd"/>
      <w:r w:rsidRPr="00D65440">
        <w:rPr>
          <w:rFonts w:ascii="Courier New" w:hAnsi="Courier New" w:cs="Courier New"/>
          <w:sz w:val="20"/>
          <w:szCs w:val="20"/>
        </w:rPr>
        <w:t xml:space="preserve"> contact with acid., Oxidizing agents Iron and iron</w:t>
      </w:r>
    </w:p>
    <w:p w:rsidR="00212944" w:rsidRPr="00D65440" w:rsidRDefault="00212944" w:rsidP="00212944">
      <w:pPr>
        <w:pStyle w:val="PlainText"/>
        <w:rPr>
          <w:rFonts w:ascii="Courier New" w:hAnsi="Courier New" w:cs="Courier New"/>
          <w:sz w:val="20"/>
          <w:szCs w:val="20"/>
        </w:rPr>
      </w:pPr>
      <w:proofErr w:type="gramStart"/>
      <w:r w:rsidRPr="00D65440">
        <w:rPr>
          <w:rFonts w:ascii="Courier New" w:hAnsi="Courier New" w:cs="Courier New"/>
          <w:sz w:val="20"/>
          <w:szCs w:val="20"/>
        </w:rPr>
        <w:t>salts.,</w:t>
      </w:r>
      <w:proofErr w:type="gramEnd"/>
      <w:r w:rsidRPr="00D65440">
        <w:rPr>
          <w:rFonts w:ascii="Courier New" w:hAnsi="Courier New" w:cs="Courier New"/>
          <w:sz w:val="20"/>
          <w:szCs w:val="20"/>
        </w:rPr>
        <w:t xml:space="preserve"> Copper, Brass, Free radical initiators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TOXIC EMISSIONS WHEN BURNED: Ammonia</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212944" w:rsidRPr="00D65440" w:rsidRDefault="00212944" w:rsidP="00212944">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R: 45-46-20/21-25-36/38-43-48/23/24/25-62</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May cause heritable genetic</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Also harmful by inhalation and in contact with skin.</w:t>
      </w:r>
      <w:proofErr w:type="gramEnd"/>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Also toxic if swallowed. </w:t>
      </w:r>
      <w:proofErr w:type="gramStart"/>
      <w:r w:rsidRPr="00D65440">
        <w:rPr>
          <w:rFonts w:ascii="Courier New" w:hAnsi="Courier New" w:cs="Courier New"/>
          <w:sz w:val="20"/>
          <w:szCs w:val="20"/>
        </w:rPr>
        <w:t>Irritating to eyes and skin.</w:t>
      </w:r>
      <w:proofErr w:type="gramEnd"/>
      <w:r w:rsidRPr="00D65440">
        <w:rPr>
          <w:rFonts w:ascii="Courier New" w:hAnsi="Courier New" w:cs="Courier New"/>
          <w:sz w:val="20"/>
          <w:szCs w:val="20"/>
        </w:rPr>
        <w:t xml:space="preserve"> May cause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skin contact. Also toxic: danger of serious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to health by prolonged exposure through inhalation, in</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Possible risk of impaired</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fertility</w:t>
      </w:r>
      <w:proofErr w:type="gramEnd"/>
      <w:r w:rsidRPr="00D65440">
        <w:rPr>
          <w:rFonts w:ascii="Courier New" w:hAnsi="Courier New" w:cs="Courier New"/>
          <w:sz w:val="20"/>
          <w:szCs w:val="20"/>
        </w:rPr>
        <w:t>.</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S: 53-45</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accident or if you feel unwell, seek medical advice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.03 mg/m3</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60</w:t>
      </w:r>
      <w:proofErr w:type="gramEnd"/>
      <w:r w:rsidRPr="00D65440">
        <w:rPr>
          <w:rFonts w:ascii="Courier New" w:hAnsi="Courier New" w:cs="Courier New"/>
          <w:sz w:val="20"/>
          <w:szCs w:val="20"/>
        </w:rPr>
        <w:t xml:space="preserve"> mg/m3</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3 mg/m3</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212944" w:rsidRPr="00D65440" w:rsidRDefault="00212944" w:rsidP="00212944">
      <w:pPr>
        <w:pStyle w:val="PlainText"/>
        <w:rPr>
          <w:rFonts w:ascii="Courier New" w:hAnsi="Courier New" w:cs="Courier New"/>
          <w:sz w:val="20"/>
          <w:szCs w:val="20"/>
        </w:rPr>
      </w:pPr>
      <w:r w:rsidRPr="00D65440">
        <w:rPr>
          <w:rFonts w:ascii="Courier New" w:hAnsi="Courier New" w:cs="Courier New"/>
          <w:sz w:val="20"/>
          <w:szCs w:val="20"/>
        </w:rPr>
        <w:t xml:space="preserve">   DOE Ceiling Limit 60 mg/m3</w:t>
      </w:r>
    </w:p>
    <w:p w:rsidR="00212944" w:rsidRPr="00D65440" w:rsidRDefault="00212944" w:rsidP="00212944">
      <w:pPr>
        <w:pStyle w:val="PlainText"/>
        <w:rPr>
          <w:rFonts w:ascii="Courier New" w:hAnsi="Courier New" w:cs="Courier New"/>
          <w:sz w:val="20"/>
          <w:szCs w:val="20"/>
        </w:rPr>
      </w:pPr>
    </w:p>
    <w:p w:rsidR="00212944" w:rsidRPr="00D65440" w:rsidRDefault="00212944" w:rsidP="0021294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1294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44"/>
    <w:rsid w:val="00212944"/>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29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944"/>
    <w:rPr>
      <w:rFonts w:ascii="Courier New" w:eastAsiaTheme="majorEastAsia" w:hAnsi="Courier New" w:cstheme="majorBidi"/>
      <w:b/>
      <w:bCs/>
      <w:sz w:val="20"/>
      <w:szCs w:val="28"/>
    </w:rPr>
  </w:style>
  <w:style w:type="paragraph" w:styleId="NoSpacing">
    <w:name w:val="No Spacing"/>
    <w:autoRedefine/>
    <w:uiPriority w:val="1"/>
    <w:qFormat/>
    <w:rsid w:val="00212944"/>
    <w:pPr>
      <w:spacing w:after="0" w:line="240" w:lineRule="auto"/>
      <w:jc w:val="both"/>
    </w:pPr>
    <w:rPr>
      <w:sz w:val="18"/>
    </w:rPr>
  </w:style>
  <w:style w:type="paragraph" w:styleId="PlainText">
    <w:name w:val="Plain Text"/>
    <w:basedOn w:val="Normal"/>
    <w:link w:val="PlainTextChar"/>
    <w:uiPriority w:val="99"/>
    <w:unhideWhenUsed/>
    <w:rsid w:val="002129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1294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29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944"/>
    <w:rPr>
      <w:rFonts w:ascii="Courier New" w:eastAsiaTheme="majorEastAsia" w:hAnsi="Courier New" w:cstheme="majorBidi"/>
      <w:b/>
      <w:bCs/>
      <w:sz w:val="20"/>
      <w:szCs w:val="28"/>
    </w:rPr>
  </w:style>
  <w:style w:type="paragraph" w:styleId="NoSpacing">
    <w:name w:val="No Spacing"/>
    <w:autoRedefine/>
    <w:uiPriority w:val="1"/>
    <w:qFormat/>
    <w:rsid w:val="00212944"/>
    <w:pPr>
      <w:spacing w:after="0" w:line="240" w:lineRule="auto"/>
      <w:jc w:val="both"/>
    </w:pPr>
    <w:rPr>
      <w:sz w:val="18"/>
    </w:rPr>
  </w:style>
  <w:style w:type="paragraph" w:styleId="PlainText">
    <w:name w:val="Plain Text"/>
    <w:basedOn w:val="Normal"/>
    <w:link w:val="PlainTextChar"/>
    <w:uiPriority w:val="99"/>
    <w:unhideWhenUsed/>
    <w:rsid w:val="002129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1294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